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2" w:rsidRPr="00835274" w:rsidRDefault="00FD2A12" w:rsidP="00FD2A1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Ind w:w="-1318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51"/>
        <w:gridCol w:w="709"/>
        <w:gridCol w:w="425"/>
        <w:gridCol w:w="1276"/>
        <w:gridCol w:w="2157"/>
        <w:gridCol w:w="2320"/>
      </w:tblGrid>
      <w:tr w:rsidR="00FD2A12" w:rsidRPr="003F0727" w:rsidTr="00CA47ED">
        <w:trPr>
          <w:cantSplit/>
          <w:trHeight w:val="283"/>
          <w:jc w:val="center"/>
        </w:trPr>
        <w:tc>
          <w:tcPr>
            <w:tcW w:w="8738" w:type="dxa"/>
            <w:gridSpan w:val="6"/>
            <w:vAlign w:val="center"/>
          </w:tcPr>
          <w:p w:rsidR="00FD2A12" w:rsidRPr="003F0727" w:rsidRDefault="00027ADE" w:rsidP="00027AD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027ADE" w:rsidRPr="003F0727" w:rsidRDefault="00027ADE" w:rsidP="00654757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DA COMISSÃO DE ORGANIZAÇÃO ADMINISTRAÇÃO PLANEJAMENTO E FINANÇAS – Nº 0</w:t>
            </w:r>
            <w:r w:rsidR="008D3840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8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/2017</w:t>
            </w:r>
          </w:p>
        </w:tc>
      </w:tr>
      <w:tr w:rsidR="00027ADE" w:rsidRPr="003F0727" w:rsidTr="00CA47ED">
        <w:trPr>
          <w:cantSplit/>
          <w:trHeight w:val="283"/>
          <w:jc w:val="center"/>
        </w:trPr>
        <w:tc>
          <w:tcPr>
            <w:tcW w:w="1851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8D3840" w:rsidP="008D3840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03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/2017</w:t>
            </w:r>
          </w:p>
        </w:tc>
        <w:tc>
          <w:tcPr>
            <w:tcW w:w="1134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9C509F" w:rsidP="009C509F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7123C7" w:rsidP="007123C7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11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4</w:t>
            </w:r>
            <w:r w:rsidR="008C4B07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4477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6D53B3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3F0727" w:rsidTr="00CA47ED">
        <w:trPr>
          <w:cantSplit/>
          <w:trHeight w:val="381"/>
          <w:jc w:val="center"/>
        </w:trPr>
        <w:tc>
          <w:tcPr>
            <w:tcW w:w="1851" w:type="dxa"/>
            <w:tcBorders>
              <w:right w:val="nil"/>
            </w:tcBorders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Reunião Coordenada por</w:t>
            </w:r>
          </w:p>
        </w:tc>
        <w:tc>
          <w:tcPr>
            <w:tcW w:w="6178" w:type="dxa"/>
            <w:gridSpan w:val="4"/>
            <w:tcBorders>
              <w:bottom w:val="single" w:sz="4" w:space="0" w:color="7F7F7F"/>
            </w:tcBorders>
            <w:vAlign w:val="center"/>
          </w:tcPr>
          <w:p w:rsidR="001061CD" w:rsidRPr="003F0727" w:rsidRDefault="004F5A70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MAURÍCIO ROCHA CARVALHO</w:t>
            </w: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6178" w:type="dxa"/>
            <w:gridSpan w:val="4"/>
            <w:vAlign w:val="center"/>
          </w:tcPr>
          <w:p w:rsidR="001061CD" w:rsidRPr="003F0727" w:rsidRDefault="004F5A70" w:rsidP="005F38DF">
            <w:pPr>
              <w:rPr>
                <w:sz w:val="22"/>
                <w:szCs w:val="22"/>
                <w:lang w:eastAsia="pt-BR"/>
              </w:rPr>
            </w:pPr>
            <w:r w:rsidRPr="003F0727">
              <w:rPr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0E58C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6178" w:type="dxa"/>
            <w:gridSpan w:val="4"/>
            <w:vAlign w:val="center"/>
          </w:tcPr>
          <w:p w:rsidR="001061CD" w:rsidRPr="003F0727" w:rsidRDefault="009A4D8F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CRISTIANNE DA SILVA MACEDO</w:t>
            </w:r>
          </w:p>
        </w:tc>
      </w:tr>
      <w:tr w:rsidR="00F93FD2" w:rsidRPr="003F0727" w:rsidTr="00CA47ED">
        <w:trPr>
          <w:cantSplit/>
          <w:trHeight w:val="224"/>
          <w:jc w:val="center"/>
        </w:trPr>
        <w:tc>
          <w:tcPr>
            <w:tcW w:w="2560" w:type="dxa"/>
            <w:gridSpan w:val="2"/>
            <w:vMerge w:val="restart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MAURÍCIO ROCHA CARVALHO 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3F0727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F93FD2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DARCLEINE COSTA MANARTE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F93FD2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7305F5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ANA LUIZA SOUTO LOUREIRO DE CASTRO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9C509F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9C509F" w:rsidRPr="003F0727" w:rsidRDefault="009C509F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9C509F" w:rsidRDefault="009C509F" w:rsidP="00221140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9C509F">
              <w:rPr>
                <w:rFonts w:eastAsia="Times New Roman"/>
                <w:bCs/>
                <w:sz w:val="22"/>
                <w:szCs w:val="22"/>
                <w:lang w:eastAsia="pt-BR"/>
              </w:rPr>
              <w:t>CARLOS ANTÔNIO BARBOZA DE ARAÚJO</w:t>
            </w:r>
          </w:p>
        </w:tc>
        <w:tc>
          <w:tcPr>
            <w:tcW w:w="2320" w:type="dxa"/>
            <w:vAlign w:val="center"/>
          </w:tcPr>
          <w:p w:rsidR="009C509F" w:rsidRDefault="009C509F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F93FD2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A833C5" w:rsidP="00221140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EDNARA KELLEN DE LIMA SOARES</w:t>
            </w:r>
          </w:p>
        </w:tc>
        <w:tc>
          <w:tcPr>
            <w:tcW w:w="2320" w:type="dxa"/>
            <w:vAlign w:val="center"/>
          </w:tcPr>
          <w:p w:rsidR="00F93FD2" w:rsidRPr="003F0727" w:rsidRDefault="00A833C5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ASSESSORA JURÍDICA</w:t>
            </w:r>
          </w:p>
        </w:tc>
      </w:tr>
    </w:tbl>
    <w:p w:rsidR="00A02FA9" w:rsidRDefault="00A02FA9" w:rsidP="00FD2A12">
      <w:pPr>
        <w:rPr>
          <w:rFonts w:eastAsia="Times New Roman"/>
          <w:sz w:val="22"/>
          <w:szCs w:val="22"/>
          <w:lang w:eastAsia="pt-BR"/>
        </w:rPr>
      </w:pPr>
    </w:p>
    <w:p w:rsidR="00A02FA9" w:rsidRDefault="00231630" w:rsidP="00723EE4">
      <w:pPr>
        <w:pStyle w:val="Ttulo1"/>
        <w:framePr w:w="8643" w:wrap="notBeside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Abertura:</w:t>
      </w:r>
    </w:p>
    <w:p w:rsidR="00231630" w:rsidRDefault="00231630" w:rsidP="00231630">
      <w:pPr>
        <w:rPr>
          <w:lang w:eastAsia="pt-BR"/>
        </w:rPr>
      </w:pPr>
    </w:p>
    <w:p w:rsidR="00A4588D" w:rsidRDefault="00231630" w:rsidP="00231630">
      <w:pPr>
        <w:rPr>
          <w:lang w:eastAsia="pt-BR"/>
        </w:rPr>
      </w:pPr>
      <w:r>
        <w:rPr>
          <w:lang w:eastAsia="pt-BR"/>
        </w:rPr>
        <w:t xml:space="preserve">O coordenador da </w:t>
      </w:r>
      <w:r w:rsidR="00A4588D">
        <w:rPr>
          <w:lang w:eastAsia="pt-BR"/>
        </w:rPr>
        <w:t>COAPF</w:t>
      </w:r>
      <w:r>
        <w:rPr>
          <w:lang w:eastAsia="pt-BR"/>
        </w:rPr>
        <w:t xml:space="preserve">, Arquiteto e Urbanista </w:t>
      </w:r>
      <w:r w:rsidR="00A4588D">
        <w:rPr>
          <w:lang w:eastAsia="pt-BR"/>
        </w:rPr>
        <w:t>Maurício Rocha Carvalho</w:t>
      </w:r>
      <w:r>
        <w:rPr>
          <w:lang w:eastAsia="pt-BR"/>
        </w:rPr>
        <w:t xml:space="preserve">, deu início aos trabalhos da </w:t>
      </w:r>
      <w:r w:rsidR="00427992">
        <w:rPr>
          <w:lang w:eastAsia="pt-BR"/>
        </w:rPr>
        <w:t>7</w:t>
      </w:r>
      <w:bookmarkStart w:id="0" w:name="_GoBack"/>
      <w:bookmarkEnd w:id="0"/>
      <w:r w:rsidR="00A4588D">
        <w:rPr>
          <w:lang w:eastAsia="pt-BR"/>
        </w:rPr>
        <w:t>ª</w:t>
      </w:r>
      <w:r>
        <w:rPr>
          <w:lang w:eastAsia="pt-BR"/>
        </w:rPr>
        <w:t xml:space="preserve"> Reunião Ordinária da </w:t>
      </w:r>
      <w:r w:rsidR="00A4588D">
        <w:rPr>
          <w:lang w:eastAsia="pt-BR"/>
        </w:rPr>
        <w:t>COAPF de 2017</w:t>
      </w:r>
      <w:r>
        <w:rPr>
          <w:lang w:eastAsia="pt-BR"/>
        </w:rPr>
        <w:t>. Fez a verificação de quórum e a leitura da pauta da presente reunião, dando início às discussões.</w:t>
      </w:r>
    </w:p>
    <w:p w:rsidR="009B03B8" w:rsidRDefault="009B03B8" w:rsidP="00231630">
      <w:pPr>
        <w:rPr>
          <w:lang w:eastAsia="pt-BR"/>
        </w:rPr>
      </w:pPr>
    </w:p>
    <w:p w:rsidR="004E13DA" w:rsidRPr="00231630" w:rsidRDefault="004E13DA" w:rsidP="004E13DA">
      <w:pPr>
        <w:pStyle w:val="Ttulo1"/>
        <w:framePr w:w="8643" w:wrap="notBeside"/>
        <w:rPr>
          <w:lang w:eastAsia="pt-BR"/>
        </w:rPr>
      </w:pPr>
      <w:r>
        <w:rPr>
          <w:lang w:eastAsia="pt-BR"/>
        </w:rPr>
        <w:t>Pauta:</w:t>
      </w:r>
    </w:p>
    <w:p w:rsidR="00231630" w:rsidRDefault="00231630" w:rsidP="00FD2A12">
      <w:pPr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6520"/>
      </w:tblGrid>
      <w:tr w:rsidR="008901D3" w:rsidTr="009D3883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901D3" w:rsidRPr="008901D3" w:rsidRDefault="008901D3" w:rsidP="008901D3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01D3" w:rsidRDefault="008901D3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901D3" w:rsidRDefault="00E9061A" w:rsidP="00D46559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Análise da Proposta </w:t>
            </w:r>
            <w:r w:rsidR="00D46559">
              <w:rPr>
                <w:rFonts w:eastAsia="Times New Roman"/>
                <w:b/>
                <w:sz w:val="22"/>
                <w:szCs w:val="22"/>
                <w:lang w:eastAsia="pt-BR"/>
              </w:rPr>
              <w:t>do Plano de Ação para o Exercício 2018</w:t>
            </w:r>
          </w:p>
        </w:tc>
      </w:tr>
      <w:tr w:rsidR="008901D3" w:rsidTr="009D3883">
        <w:tc>
          <w:tcPr>
            <w:tcW w:w="53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901D3" w:rsidRPr="008901D3" w:rsidRDefault="008901D3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01D3" w:rsidRDefault="008901D3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901D3" w:rsidRPr="00FC130D" w:rsidRDefault="00E9061A" w:rsidP="00D4655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Gerência </w:t>
            </w:r>
            <w:r w:rsidR="00D46559">
              <w:rPr>
                <w:rFonts w:eastAsia="Times New Roman"/>
                <w:sz w:val="22"/>
                <w:szCs w:val="22"/>
                <w:lang w:eastAsia="pt-BR"/>
              </w:rPr>
              <w:t>Geral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901D3" w:rsidTr="002D40A4">
        <w:tc>
          <w:tcPr>
            <w:tcW w:w="53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901D3" w:rsidRPr="008901D3" w:rsidRDefault="008901D3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901D3" w:rsidRDefault="008901D3" w:rsidP="002D40A4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AB2C8A" w:rsidRPr="00FC130D" w:rsidRDefault="00D46559" w:rsidP="00D4655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Foi </w:t>
            </w: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apresentado</w:t>
            </w:r>
            <w:proofErr w:type="gram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pela Gerência Geral a proposta do Plano de Ação para o Exercício 2018, sendo aprovado o seu encaminhamento para a apreciação do Plenário do CAU/AM na próxima reunião plenária</w:t>
            </w:r>
            <w:r w:rsidR="00115A2D">
              <w:rPr>
                <w:rFonts w:eastAsia="Times New Roman"/>
                <w:sz w:val="22"/>
                <w:szCs w:val="22"/>
                <w:lang w:eastAsia="pt-BR"/>
              </w:rPr>
              <w:t>.</w:t>
            </w:r>
          </w:p>
        </w:tc>
      </w:tr>
      <w:tr w:rsidR="008239D1" w:rsidTr="009D3883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239D1" w:rsidRPr="008901D3" w:rsidRDefault="008239D1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239D1" w:rsidRDefault="008239D1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239D1" w:rsidRDefault="008239D1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  <w:tr w:rsidR="00926A82" w:rsidTr="0002632A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6A82" w:rsidRPr="008901D3" w:rsidRDefault="00926A82" w:rsidP="00C46BB3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26A82" w:rsidRDefault="00926A82" w:rsidP="00C46BB3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926A82" w:rsidRDefault="00F822A9" w:rsidP="00D46559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Processo Administrativo </w:t>
            </w:r>
            <w:r w:rsidR="00D46559">
              <w:rPr>
                <w:rFonts w:eastAsia="Times New Roman"/>
                <w:b/>
                <w:sz w:val="22"/>
                <w:szCs w:val="22"/>
                <w:lang w:eastAsia="pt-BR"/>
              </w:rPr>
              <w:t>060/2017</w:t>
            </w:r>
          </w:p>
        </w:tc>
      </w:tr>
      <w:tr w:rsidR="00926A82" w:rsidTr="0002632A">
        <w:tc>
          <w:tcPr>
            <w:tcW w:w="534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6A82" w:rsidRPr="008901D3" w:rsidRDefault="00926A82" w:rsidP="00C46BB3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26A82" w:rsidRDefault="00926A82" w:rsidP="00C46BB3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926A82" w:rsidRPr="00FC130D" w:rsidRDefault="00F822A9" w:rsidP="00887B92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Assessoria Jurídica</w:t>
            </w:r>
          </w:p>
        </w:tc>
      </w:tr>
      <w:tr w:rsidR="00926A82" w:rsidTr="0002632A">
        <w:tc>
          <w:tcPr>
            <w:tcW w:w="53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26A82" w:rsidRPr="008901D3" w:rsidRDefault="00926A82" w:rsidP="00C46BB3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6A82" w:rsidRDefault="00926A82" w:rsidP="00C46BB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926A82" w:rsidRPr="00FC130D" w:rsidRDefault="00434687" w:rsidP="00A83B6B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Mediante as informações apresentadas pelo profissional quanto </w:t>
            </w:r>
            <w:r w:rsidR="00AF7AFA">
              <w:rPr>
                <w:rFonts w:eastAsia="Times New Roman"/>
                <w:sz w:val="22"/>
                <w:szCs w:val="22"/>
                <w:lang w:eastAsia="pt-BR"/>
              </w:rPr>
              <w:t>à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situa</w:t>
            </w:r>
            <w:r w:rsidR="00A83B6B">
              <w:rPr>
                <w:rFonts w:eastAsia="Times New Roman"/>
                <w:sz w:val="22"/>
                <w:szCs w:val="22"/>
                <w:lang w:eastAsia="pt-BR"/>
              </w:rPr>
              <w:t>ção do seu Registro Profissional no ato da migração do CREA/AM para o CAU/AM, estando o mesmo como provisório</w:t>
            </w:r>
            <w:r w:rsidR="00811C9C">
              <w:rPr>
                <w:rFonts w:eastAsia="Times New Roman"/>
                <w:sz w:val="22"/>
                <w:szCs w:val="22"/>
                <w:lang w:eastAsia="pt-BR"/>
              </w:rPr>
              <w:t xml:space="preserve"> com data fim em 25.02.2012 e que o profissional alega não ter solicitado alteração para o definitivo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, foi decido pela retificação do registro profissional no SICCAU, bem como o arquivamento da cobrança administrativa e extinção da execução fiscal interposta.</w:t>
            </w:r>
            <w:r w:rsidR="00F822A9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15A2D" w:rsidTr="00AF3D12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15A2D" w:rsidRPr="008901D3" w:rsidRDefault="00115A2D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  <w:tr w:rsidR="00115A2D" w:rsidTr="00AF3D12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15A2D" w:rsidRPr="008901D3" w:rsidRDefault="007F1BEF" w:rsidP="00AF3D12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Default="00514598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Processo Administrativo</w:t>
            </w:r>
            <w:r w:rsidR="00D46559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252/2017</w:t>
            </w:r>
          </w:p>
        </w:tc>
      </w:tr>
      <w:tr w:rsidR="00115A2D" w:rsidTr="00AF3D12">
        <w:tc>
          <w:tcPr>
            <w:tcW w:w="534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15A2D" w:rsidRPr="008901D3" w:rsidRDefault="00115A2D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Pr="00FC130D" w:rsidRDefault="00514598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Assessoria Jurídica</w:t>
            </w:r>
          </w:p>
        </w:tc>
      </w:tr>
      <w:tr w:rsidR="00115A2D" w:rsidTr="00AF3D12">
        <w:tc>
          <w:tcPr>
            <w:tcW w:w="53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15A2D" w:rsidRPr="008901D3" w:rsidRDefault="00115A2D" w:rsidP="00AF3D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15A2D" w:rsidRDefault="00115A2D" w:rsidP="00AF3D12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Pr="00FC130D" w:rsidRDefault="003523FC" w:rsidP="00CC227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Mediante as informações apresentadas e da análise dos documentos físicos </w:t>
            </w:r>
            <w:r w:rsidR="000C46DB">
              <w:rPr>
                <w:rFonts w:eastAsia="Times New Roman"/>
                <w:sz w:val="22"/>
                <w:szCs w:val="22"/>
                <w:lang w:eastAsia="pt-BR"/>
              </w:rPr>
              <w:t xml:space="preserve">onde consta que o profissional requereu o </w:t>
            </w:r>
            <w:r w:rsidR="00CC2279">
              <w:rPr>
                <w:rFonts w:eastAsia="Times New Roman"/>
                <w:sz w:val="22"/>
                <w:szCs w:val="22"/>
                <w:lang w:eastAsia="pt-BR"/>
              </w:rPr>
              <w:t>registro provisório em 07.03.200</w:t>
            </w:r>
            <w:r w:rsidR="000C46DB">
              <w:rPr>
                <w:rFonts w:eastAsia="Times New Roman"/>
                <w:sz w:val="22"/>
                <w:szCs w:val="22"/>
                <w:lang w:eastAsia="pt-BR"/>
              </w:rPr>
              <w:t>7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e que </w:t>
            </w:r>
            <w:r w:rsidR="00493F92">
              <w:rPr>
                <w:rFonts w:eastAsia="Times New Roman"/>
                <w:sz w:val="22"/>
                <w:szCs w:val="22"/>
                <w:lang w:eastAsia="pt-BR"/>
              </w:rPr>
              <w:t>não consta requerimento de prorrogação de validade ou encaminhamento de Diploma de graduação, foi decido pela retificação do registro profissional no SICCAU</w:t>
            </w:r>
            <w:r w:rsidR="000C46DB">
              <w:rPr>
                <w:rFonts w:eastAsia="Times New Roman"/>
                <w:sz w:val="22"/>
                <w:szCs w:val="22"/>
                <w:lang w:eastAsia="pt-BR"/>
              </w:rPr>
              <w:t xml:space="preserve"> para que conste como inativo desde 19.09.20</w:t>
            </w:r>
            <w:r w:rsidR="00CC2279">
              <w:rPr>
                <w:rFonts w:eastAsia="Times New Roman"/>
                <w:sz w:val="22"/>
                <w:szCs w:val="22"/>
                <w:lang w:eastAsia="pt-BR"/>
              </w:rPr>
              <w:t>0</w:t>
            </w:r>
            <w:r w:rsidR="000C46DB">
              <w:rPr>
                <w:rFonts w:eastAsia="Times New Roman"/>
                <w:sz w:val="22"/>
                <w:szCs w:val="22"/>
                <w:lang w:eastAsia="pt-BR"/>
              </w:rPr>
              <w:t>8</w:t>
            </w:r>
            <w:r w:rsidR="00493F92">
              <w:rPr>
                <w:rFonts w:eastAsia="Times New Roman"/>
                <w:sz w:val="22"/>
                <w:szCs w:val="22"/>
                <w:lang w:eastAsia="pt-BR"/>
              </w:rPr>
              <w:t xml:space="preserve">, bem como o arquivamento da </w:t>
            </w:r>
            <w:r w:rsidR="00493F92">
              <w:rPr>
                <w:rFonts w:eastAsia="Times New Roman"/>
                <w:sz w:val="22"/>
                <w:szCs w:val="22"/>
                <w:lang w:eastAsia="pt-BR"/>
              </w:rPr>
              <w:lastRenderedPageBreak/>
              <w:t>cobrança administrativa e extinção da execução fiscal interposta</w:t>
            </w:r>
            <w:r w:rsidR="000C46DB">
              <w:rPr>
                <w:rFonts w:eastAsia="Times New Roman"/>
                <w:sz w:val="22"/>
                <w:szCs w:val="22"/>
                <w:lang w:eastAsia="pt-BR"/>
              </w:rPr>
              <w:t>.</w:t>
            </w:r>
          </w:p>
        </w:tc>
      </w:tr>
      <w:tr w:rsidR="00115A2D" w:rsidTr="00AF3D12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15A2D" w:rsidRDefault="00115A2D" w:rsidP="00AF3D12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115A2D" w:rsidRDefault="00115A2D" w:rsidP="00AF3D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  <w:tr w:rsidR="007F1BEF" w:rsidTr="008B1047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1BEF" w:rsidRPr="008901D3" w:rsidRDefault="007F1BEF" w:rsidP="008B1047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1BEF" w:rsidRDefault="007F1BEF" w:rsidP="008B1047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7F1BEF" w:rsidRDefault="007F1BEF" w:rsidP="007C38A0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C</w:t>
            </w:r>
            <w:r w:rsidRPr="007F1BEF">
              <w:rPr>
                <w:rFonts w:eastAsia="Times New Roman"/>
                <w:b/>
                <w:sz w:val="22"/>
                <w:szCs w:val="22"/>
                <w:lang w:eastAsia="pt-BR"/>
              </w:rPr>
              <w:t>obrança das custas judiciais e honorários advocatícios dos profissionais e pessoas jurídicas que geraram automaticamente pelo SICCAU os boletos do valor inscrito em dívida ativa</w:t>
            </w:r>
          </w:p>
        </w:tc>
      </w:tr>
      <w:tr w:rsidR="007F1BEF" w:rsidTr="008B1047">
        <w:tc>
          <w:tcPr>
            <w:tcW w:w="534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F1BEF" w:rsidRPr="008901D3" w:rsidRDefault="007F1BEF" w:rsidP="008B1047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1BEF" w:rsidRDefault="007F1BEF" w:rsidP="008B1047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7F1BEF" w:rsidRPr="00FC130D" w:rsidRDefault="007F1BEF" w:rsidP="008B1047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Gerência Geral e Assessoria Jurídica</w:t>
            </w:r>
          </w:p>
        </w:tc>
      </w:tr>
      <w:tr w:rsidR="007F1BEF" w:rsidTr="008B1047">
        <w:tc>
          <w:tcPr>
            <w:tcW w:w="53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F1BEF" w:rsidRPr="008901D3" w:rsidRDefault="007F1BEF" w:rsidP="008B1047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F1BEF" w:rsidRDefault="007F1BEF" w:rsidP="008B1047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7F1BEF" w:rsidRPr="00FC130D" w:rsidRDefault="007F1BEF" w:rsidP="00785B3A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Mediante as informações apresentadas pela Gerência Geral e Assessoria Jurídica </w:t>
            </w:r>
            <w:r w:rsidR="005F3981">
              <w:rPr>
                <w:rFonts w:eastAsia="Times New Roman"/>
                <w:sz w:val="22"/>
                <w:szCs w:val="22"/>
                <w:lang w:eastAsia="pt-BR"/>
              </w:rPr>
              <w:t xml:space="preserve">quanto </w:t>
            </w:r>
            <w:r w:rsidR="003D522C">
              <w:rPr>
                <w:rFonts w:eastAsia="Times New Roman"/>
                <w:sz w:val="22"/>
                <w:szCs w:val="22"/>
                <w:lang w:eastAsia="pt-BR"/>
              </w:rPr>
              <w:t>à</w:t>
            </w:r>
            <w:r w:rsidR="005F3981">
              <w:rPr>
                <w:rFonts w:eastAsia="Times New Roman"/>
                <w:sz w:val="22"/>
                <w:szCs w:val="22"/>
                <w:lang w:eastAsia="pt-BR"/>
              </w:rPr>
              <w:t xml:space="preserve"> emissão dos boletos automáticos pelo SICCAU de profissionais inscritos em dívida ativa, foi aprovado o encaminhamento para apreciação</w:t>
            </w:r>
            <w:r w:rsidR="00286E39">
              <w:rPr>
                <w:rFonts w:eastAsia="Times New Roman"/>
                <w:sz w:val="22"/>
                <w:szCs w:val="22"/>
                <w:lang w:eastAsia="pt-BR"/>
              </w:rPr>
              <w:t xml:space="preserve"> ao plenário</w:t>
            </w:r>
            <w:r w:rsidR="008F584F">
              <w:rPr>
                <w:rFonts w:eastAsia="Times New Roman"/>
                <w:sz w:val="22"/>
                <w:szCs w:val="22"/>
                <w:lang w:eastAsia="pt-BR"/>
              </w:rPr>
              <w:t xml:space="preserve"> para não requerer </w:t>
            </w:r>
            <w:r w:rsidR="00785B3A">
              <w:rPr>
                <w:rFonts w:eastAsia="Times New Roman"/>
                <w:sz w:val="22"/>
                <w:szCs w:val="22"/>
                <w:lang w:eastAsia="pt-BR"/>
              </w:rPr>
              <w:t xml:space="preserve">o pagamento das </w:t>
            </w:r>
            <w:r w:rsidR="008F584F">
              <w:rPr>
                <w:rFonts w:eastAsia="Times New Roman"/>
                <w:sz w:val="22"/>
                <w:szCs w:val="22"/>
                <w:lang w:eastAsia="pt-BR"/>
              </w:rPr>
              <w:t>custas e honorários dos</w:t>
            </w:r>
            <w:r w:rsidR="008826F6">
              <w:rPr>
                <w:rFonts w:eastAsia="Times New Roman"/>
                <w:sz w:val="22"/>
                <w:szCs w:val="22"/>
                <w:lang w:eastAsia="pt-BR"/>
              </w:rPr>
              <w:t xml:space="preserve"> referidos</w:t>
            </w:r>
            <w:r w:rsidR="008F584F">
              <w:rPr>
                <w:rFonts w:eastAsia="Times New Roman"/>
                <w:sz w:val="22"/>
                <w:szCs w:val="22"/>
                <w:lang w:eastAsia="pt-BR"/>
              </w:rPr>
              <w:t xml:space="preserve"> profissionais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8239D1" w:rsidRDefault="008239D1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CB7415" w:rsidRDefault="00CB7415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AF7AFA" w:rsidRDefault="00AF7AFA" w:rsidP="00FD2A12">
      <w:pPr>
        <w:rPr>
          <w:rFonts w:eastAsia="Times New Roman"/>
          <w:b/>
          <w:sz w:val="22"/>
          <w:szCs w:val="22"/>
          <w:lang w:eastAsia="pt-BR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36567F" w:rsidTr="001E4188">
        <w:tc>
          <w:tcPr>
            <w:tcW w:w="4322" w:type="dxa"/>
          </w:tcPr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36567F" w:rsidRPr="0036567F" w:rsidRDefault="00473EE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MAURÍCIO ROCHA CARVALHO</w:t>
            </w:r>
          </w:p>
          <w:p w:rsidR="0036567F" w:rsidRPr="00473EE0" w:rsidRDefault="00473EE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73EE0">
              <w:rPr>
                <w:rFonts w:eastAsia="Times New Roman"/>
                <w:b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4575" w:type="dxa"/>
          </w:tcPr>
          <w:p w:rsid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darcleine costa manarte</w:t>
            </w:r>
          </w:p>
          <w:p w:rsidR="0036567F" w:rsidRP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F6AF0">
              <w:rPr>
                <w:rFonts w:eastAsia="Times New Roman"/>
                <w:b/>
                <w:sz w:val="22"/>
                <w:szCs w:val="22"/>
                <w:lang w:eastAsia="pt-BR"/>
              </w:rPr>
              <w:t>COORDENADOR ADJUNTO</w:t>
            </w:r>
          </w:p>
          <w:p w:rsidR="0036567F" w:rsidRDefault="0036567F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36567F" w:rsidTr="001E4188">
        <w:tc>
          <w:tcPr>
            <w:tcW w:w="4322" w:type="dxa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477F2A" w:rsidRDefault="00477F2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355053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ANA LUIZA SOUTO LOUREIRO</w:t>
            </w:r>
          </w:p>
          <w:p w:rsidR="0036567F" w:rsidRPr="00355053" w:rsidRDefault="00355053" w:rsidP="0036567F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355053"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575" w:type="dxa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477F2A" w:rsidRDefault="00477F2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F6AF0" w:rsidRDefault="008F6AF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EB6473" w:rsidRDefault="00D10228" w:rsidP="00EB6473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Cristianne da silva macêdo</w:t>
            </w:r>
          </w:p>
          <w:p w:rsidR="0036567F" w:rsidRPr="00355053" w:rsidRDefault="00D10228" w:rsidP="00EB6473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GERENTE GERAL</w:t>
            </w:r>
          </w:p>
        </w:tc>
      </w:tr>
      <w:tr w:rsidR="000670A0" w:rsidTr="001E4188">
        <w:tc>
          <w:tcPr>
            <w:tcW w:w="4322" w:type="dxa"/>
          </w:tcPr>
          <w:p w:rsidR="000670A0" w:rsidRDefault="000670A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670A0" w:rsidRDefault="000670A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670A0" w:rsidRDefault="001E4188" w:rsidP="000670A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E4188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CARLOS ANTÔNIO BARBOZA DE ARAÚJO</w:t>
            </w:r>
          </w:p>
          <w:p w:rsidR="001E4188" w:rsidRPr="001E4188" w:rsidRDefault="001E4188" w:rsidP="000670A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575" w:type="dxa"/>
          </w:tcPr>
          <w:p w:rsidR="000670A0" w:rsidRDefault="000670A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1E4188" w:rsidRDefault="001E4188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1E4188" w:rsidRDefault="001E4188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1E4188" w:rsidRDefault="001E4188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1E4188" w:rsidRDefault="001E4188" w:rsidP="001E4188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EDNARA KELLEN DE LIMA SOARES</w:t>
            </w:r>
          </w:p>
          <w:p w:rsidR="001E4188" w:rsidRDefault="001E4188" w:rsidP="001E4188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ASSESSORA JURÍDICA</w:t>
            </w:r>
          </w:p>
        </w:tc>
      </w:tr>
    </w:tbl>
    <w:p w:rsidR="0036567F" w:rsidRDefault="0036567F" w:rsidP="00F86718">
      <w:pPr>
        <w:rPr>
          <w:rFonts w:eastAsia="Times New Roman"/>
          <w:sz w:val="22"/>
          <w:szCs w:val="22"/>
          <w:lang w:eastAsia="pt-BR"/>
        </w:rPr>
      </w:pPr>
    </w:p>
    <w:p w:rsidR="00DA5A71" w:rsidRDefault="00DA5A71" w:rsidP="00F86718">
      <w:pPr>
        <w:rPr>
          <w:rFonts w:eastAsia="Times New Roman"/>
          <w:sz w:val="22"/>
          <w:szCs w:val="22"/>
          <w:lang w:eastAsia="pt-BR"/>
        </w:rPr>
      </w:pPr>
    </w:p>
    <w:p w:rsidR="00DA5A71" w:rsidRDefault="00DA5A71" w:rsidP="00F86718">
      <w:pPr>
        <w:rPr>
          <w:rFonts w:eastAsia="Times New Roman"/>
          <w:sz w:val="22"/>
          <w:szCs w:val="22"/>
          <w:lang w:eastAsia="pt-BR"/>
        </w:rPr>
      </w:pPr>
    </w:p>
    <w:sectPr w:rsidR="00DA5A71" w:rsidSect="000670A0">
      <w:headerReference w:type="default" r:id="rId8"/>
      <w:footerReference w:type="default" r:id="rId9"/>
      <w:pgSz w:w="11906" w:h="16838"/>
      <w:pgMar w:top="1702" w:right="1701" w:bottom="1276" w:left="1701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29" w:rsidRDefault="000A6929" w:rsidP="00FD2A12">
      <w:r>
        <w:separator/>
      </w:r>
    </w:p>
  </w:endnote>
  <w:endnote w:type="continuationSeparator" w:id="0">
    <w:p w:rsidR="000A6929" w:rsidRDefault="000A69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90" w:rsidRDefault="00873790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873790" w:rsidRPr="003B4628" w:rsidRDefault="00873790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>www.cauam.gov.br</w:t>
    </w:r>
    <w:r w:rsidR="00155804">
      <w:rPr>
        <w:rFonts w:ascii="Arial" w:hAnsi="Arial"/>
        <w:color w:val="003333"/>
        <w:sz w:val="20"/>
        <w:szCs w:val="20"/>
      </w:rPr>
      <w:t xml:space="preserve"> / </w:t>
    </w:r>
    <w:r>
      <w:rPr>
        <w:rFonts w:ascii="Arial" w:hAnsi="Arial"/>
        <w:color w:val="003333"/>
        <w:sz w:val="20"/>
        <w:szCs w:val="20"/>
      </w:rPr>
      <w:t>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29" w:rsidRDefault="000A6929" w:rsidP="00FD2A12">
      <w:r>
        <w:separator/>
      </w:r>
    </w:p>
  </w:footnote>
  <w:footnote w:type="continuationSeparator" w:id="0">
    <w:p w:rsidR="000A6929" w:rsidRDefault="000A69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0A69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05.4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FD2A1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869A6" wp14:editId="74D9F0C0">
              <wp:simplePos x="0" y="0"/>
              <wp:positionH relativeFrom="column">
                <wp:posOffset>485318</wp:posOffset>
              </wp:positionH>
              <wp:positionV relativeFrom="paragraph">
                <wp:posOffset>833933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Pr="00FD2A12" w:rsidRDefault="002A6400" w:rsidP="00FD2A12">
                          <w:pPr>
                            <w:pStyle w:val="Default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COMISSÃO DE ORGANANIZAÇÃO, ADMINIST</w:t>
                          </w:r>
                          <w:r w:rsidR="00006BE1"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RA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ÇÃO, PLANEJAMENTO E </w:t>
                          </w:r>
                          <w:proofErr w:type="gramStart"/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FINANÇAS</w:t>
                          </w:r>
                          <w:proofErr w:type="gramEnd"/>
                        </w:p>
                        <w:p w:rsidR="00FD2A12" w:rsidRDefault="00FD2A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2pt;margin-top:65.65pt;width:382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" fillcolor="white [3201]" stroked="f" strokeweight=".5pt">
              <v:textbox>
                <w:txbxContent>
                  <w:p w:rsidR="00FD2A12" w:rsidRPr="00FD2A12" w:rsidRDefault="002A6400" w:rsidP="00FD2A12">
                    <w:pPr>
                      <w:pStyle w:val="Default"/>
                      <w:jc w:val="center"/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COMISSÃO DE ORGANANIZAÇÃO, ADMINIST</w:t>
                    </w:r>
                    <w:r w:rsidR="00006BE1"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RA</w:t>
                    </w: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 xml:space="preserve">ÇÃO, PLANEJAMENTO E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FINANÇAS</w:t>
                    </w:r>
                    <w:proofErr w:type="gramEnd"/>
                  </w:p>
                  <w:p w:rsidR="00FD2A12" w:rsidRDefault="00FD2A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3CAE"/>
    <w:rsid w:val="00006BE1"/>
    <w:rsid w:val="00027ADE"/>
    <w:rsid w:val="000573DA"/>
    <w:rsid w:val="000670A0"/>
    <w:rsid w:val="0007716E"/>
    <w:rsid w:val="0007737F"/>
    <w:rsid w:val="00096F05"/>
    <w:rsid w:val="000A6929"/>
    <w:rsid w:val="000C46DB"/>
    <w:rsid w:val="000E58C9"/>
    <w:rsid w:val="000F2D71"/>
    <w:rsid w:val="001061CD"/>
    <w:rsid w:val="00115A2D"/>
    <w:rsid w:val="00136DD5"/>
    <w:rsid w:val="00155804"/>
    <w:rsid w:val="0016458E"/>
    <w:rsid w:val="001B5C11"/>
    <w:rsid w:val="001E4188"/>
    <w:rsid w:val="001F7E97"/>
    <w:rsid w:val="00201082"/>
    <w:rsid w:val="00221140"/>
    <w:rsid w:val="00223795"/>
    <w:rsid w:val="00231630"/>
    <w:rsid w:val="00250CB8"/>
    <w:rsid w:val="00281134"/>
    <w:rsid w:val="00283ACD"/>
    <w:rsid w:val="00286E39"/>
    <w:rsid w:val="002A1656"/>
    <w:rsid w:val="002A6400"/>
    <w:rsid w:val="002B685A"/>
    <w:rsid w:val="002C1665"/>
    <w:rsid w:val="002C485A"/>
    <w:rsid w:val="002D40A4"/>
    <w:rsid w:val="002E0E32"/>
    <w:rsid w:val="002F226C"/>
    <w:rsid w:val="003055E3"/>
    <w:rsid w:val="00307EED"/>
    <w:rsid w:val="003312F9"/>
    <w:rsid w:val="00335CF8"/>
    <w:rsid w:val="003523FC"/>
    <w:rsid w:val="00355053"/>
    <w:rsid w:val="0036567F"/>
    <w:rsid w:val="00386B22"/>
    <w:rsid w:val="003A1A61"/>
    <w:rsid w:val="003A6595"/>
    <w:rsid w:val="003D2267"/>
    <w:rsid w:val="003D522C"/>
    <w:rsid w:val="003E7933"/>
    <w:rsid w:val="003E7B92"/>
    <w:rsid w:val="003F0727"/>
    <w:rsid w:val="00413172"/>
    <w:rsid w:val="00427992"/>
    <w:rsid w:val="00434687"/>
    <w:rsid w:val="0046657C"/>
    <w:rsid w:val="00473EE0"/>
    <w:rsid w:val="00477F2A"/>
    <w:rsid w:val="00491ADD"/>
    <w:rsid w:val="00493F92"/>
    <w:rsid w:val="004B38C9"/>
    <w:rsid w:val="004D103F"/>
    <w:rsid w:val="004E0A63"/>
    <w:rsid w:val="004E13DA"/>
    <w:rsid w:val="004F068D"/>
    <w:rsid w:val="004F5A70"/>
    <w:rsid w:val="00507691"/>
    <w:rsid w:val="005112E7"/>
    <w:rsid w:val="0051293D"/>
    <w:rsid w:val="00514598"/>
    <w:rsid w:val="00525098"/>
    <w:rsid w:val="00561ACD"/>
    <w:rsid w:val="00562B45"/>
    <w:rsid w:val="00564C2A"/>
    <w:rsid w:val="005865C2"/>
    <w:rsid w:val="005B0E90"/>
    <w:rsid w:val="005B6E5A"/>
    <w:rsid w:val="005D0830"/>
    <w:rsid w:val="005D1F77"/>
    <w:rsid w:val="005D53A5"/>
    <w:rsid w:val="005E32AE"/>
    <w:rsid w:val="005E3BF2"/>
    <w:rsid w:val="005F38DF"/>
    <w:rsid w:val="005F3981"/>
    <w:rsid w:val="00612DAE"/>
    <w:rsid w:val="00641539"/>
    <w:rsid w:val="00654757"/>
    <w:rsid w:val="0066789E"/>
    <w:rsid w:val="0068415E"/>
    <w:rsid w:val="006B7855"/>
    <w:rsid w:val="006C5FDE"/>
    <w:rsid w:val="006C63BB"/>
    <w:rsid w:val="006D53B3"/>
    <w:rsid w:val="006E1E99"/>
    <w:rsid w:val="007123C7"/>
    <w:rsid w:val="00722104"/>
    <w:rsid w:val="00723EE4"/>
    <w:rsid w:val="007305F5"/>
    <w:rsid w:val="00742F05"/>
    <w:rsid w:val="00785B3A"/>
    <w:rsid w:val="007934CA"/>
    <w:rsid w:val="007A3094"/>
    <w:rsid w:val="007A56B8"/>
    <w:rsid w:val="007B264E"/>
    <w:rsid w:val="007C2432"/>
    <w:rsid w:val="007C25F3"/>
    <w:rsid w:val="007C38A0"/>
    <w:rsid w:val="007C4B57"/>
    <w:rsid w:val="007F1BEF"/>
    <w:rsid w:val="007F58BC"/>
    <w:rsid w:val="00803E34"/>
    <w:rsid w:val="00811C9C"/>
    <w:rsid w:val="00821EDA"/>
    <w:rsid w:val="008239D1"/>
    <w:rsid w:val="00823CBF"/>
    <w:rsid w:val="00873790"/>
    <w:rsid w:val="008826F6"/>
    <w:rsid w:val="00885751"/>
    <w:rsid w:val="008901D3"/>
    <w:rsid w:val="008B0B46"/>
    <w:rsid w:val="008C4B07"/>
    <w:rsid w:val="008C6C77"/>
    <w:rsid w:val="008D3840"/>
    <w:rsid w:val="008F584F"/>
    <w:rsid w:val="008F6AF0"/>
    <w:rsid w:val="0091214A"/>
    <w:rsid w:val="00921EE9"/>
    <w:rsid w:val="00926A82"/>
    <w:rsid w:val="00966F63"/>
    <w:rsid w:val="00966FBD"/>
    <w:rsid w:val="0099391B"/>
    <w:rsid w:val="0099702F"/>
    <w:rsid w:val="009A4D8F"/>
    <w:rsid w:val="009B03B8"/>
    <w:rsid w:val="009B54ED"/>
    <w:rsid w:val="009B7BE3"/>
    <w:rsid w:val="009C1519"/>
    <w:rsid w:val="009C509F"/>
    <w:rsid w:val="009D3883"/>
    <w:rsid w:val="009E064B"/>
    <w:rsid w:val="009E2A15"/>
    <w:rsid w:val="009E604D"/>
    <w:rsid w:val="00A00BBE"/>
    <w:rsid w:val="00A02FA9"/>
    <w:rsid w:val="00A41ACF"/>
    <w:rsid w:val="00A4588D"/>
    <w:rsid w:val="00A64B65"/>
    <w:rsid w:val="00A8338A"/>
    <w:rsid w:val="00A833C5"/>
    <w:rsid w:val="00A83B6B"/>
    <w:rsid w:val="00A95A7E"/>
    <w:rsid w:val="00AA43A1"/>
    <w:rsid w:val="00AA5130"/>
    <w:rsid w:val="00AB2C8A"/>
    <w:rsid w:val="00AB746A"/>
    <w:rsid w:val="00AC79E6"/>
    <w:rsid w:val="00AF79F3"/>
    <w:rsid w:val="00AF7AFA"/>
    <w:rsid w:val="00B040DF"/>
    <w:rsid w:val="00B1198D"/>
    <w:rsid w:val="00B36805"/>
    <w:rsid w:val="00B47571"/>
    <w:rsid w:val="00B475AD"/>
    <w:rsid w:val="00B55108"/>
    <w:rsid w:val="00BC4779"/>
    <w:rsid w:val="00BD45B0"/>
    <w:rsid w:val="00BF7E53"/>
    <w:rsid w:val="00C25F5A"/>
    <w:rsid w:val="00C36BF9"/>
    <w:rsid w:val="00C45FA2"/>
    <w:rsid w:val="00C626F7"/>
    <w:rsid w:val="00C66C4D"/>
    <w:rsid w:val="00C968D9"/>
    <w:rsid w:val="00CA47ED"/>
    <w:rsid w:val="00CB559E"/>
    <w:rsid w:val="00CB7415"/>
    <w:rsid w:val="00CC2279"/>
    <w:rsid w:val="00CC3C0C"/>
    <w:rsid w:val="00D00209"/>
    <w:rsid w:val="00D10228"/>
    <w:rsid w:val="00D20CF3"/>
    <w:rsid w:val="00D23D05"/>
    <w:rsid w:val="00D46559"/>
    <w:rsid w:val="00DA5A71"/>
    <w:rsid w:val="00DE2C4F"/>
    <w:rsid w:val="00DE49EF"/>
    <w:rsid w:val="00E05030"/>
    <w:rsid w:val="00E06AD9"/>
    <w:rsid w:val="00E0722E"/>
    <w:rsid w:val="00E226FA"/>
    <w:rsid w:val="00E40C46"/>
    <w:rsid w:val="00E9061A"/>
    <w:rsid w:val="00EA2055"/>
    <w:rsid w:val="00EA7ABA"/>
    <w:rsid w:val="00EB5C00"/>
    <w:rsid w:val="00EB6473"/>
    <w:rsid w:val="00ED1E13"/>
    <w:rsid w:val="00F10BDB"/>
    <w:rsid w:val="00F37887"/>
    <w:rsid w:val="00F52743"/>
    <w:rsid w:val="00F774C8"/>
    <w:rsid w:val="00F822A9"/>
    <w:rsid w:val="00F86718"/>
    <w:rsid w:val="00F93539"/>
    <w:rsid w:val="00F93FD2"/>
    <w:rsid w:val="00FA5809"/>
    <w:rsid w:val="00FA6197"/>
    <w:rsid w:val="00FB6AFA"/>
    <w:rsid w:val="00FC130D"/>
    <w:rsid w:val="00FC68D6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23</cp:revision>
  <cp:lastPrinted>2017-12-22T17:11:00Z</cp:lastPrinted>
  <dcterms:created xsi:type="dcterms:W3CDTF">2017-12-22T16:51:00Z</dcterms:created>
  <dcterms:modified xsi:type="dcterms:W3CDTF">2017-12-22T17:56:00Z</dcterms:modified>
</cp:coreProperties>
</file>